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7B" w:rsidRPr="0000262C" w:rsidRDefault="000B28B7">
      <w:pPr>
        <w:rPr>
          <w:b/>
          <w:sz w:val="24"/>
        </w:rPr>
      </w:pPr>
      <w:bookmarkStart w:id="0" w:name="_GoBack"/>
      <w:bookmarkEnd w:id="0"/>
      <w:r w:rsidRPr="0000262C">
        <w:rPr>
          <w:b/>
          <w:sz w:val="24"/>
        </w:rPr>
        <w:t xml:space="preserve">Goaltender Development Guidelines </w:t>
      </w:r>
      <w:r w:rsidR="00777401">
        <w:rPr>
          <w:b/>
          <w:sz w:val="24"/>
        </w:rPr>
        <w:t>/ Requirements</w:t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807"/>
        <w:gridCol w:w="1703"/>
        <w:gridCol w:w="3057"/>
        <w:gridCol w:w="1228"/>
        <w:gridCol w:w="2346"/>
        <w:gridCol w:w="1666"/>
        <w:gridCol w:w="1605"/>
      </w:tblGrid>
      <w:tr w:rsidR="00777401" w:rsidRPr="0000262C" w:rsidTr="00777401">
        <w:tc>
          <w:tcPr>
            <w:tcW w:w="1807" w:type="dxa"/>
          </w:tcPr>
          <w:p w:rsidR="00777401" w:rsidRPr="000C244D" w:rsidRDefault="00777401">
            <w:pPr>
              <w:rPr>
                <w:b/>
                <w:sz w:val="20"/>
                <w:szCs w:val="20"/>
              </w:rPr>
            </w:pPr>
            <w:r w:rsidRPr="000C244D">
              <w:rPr>
                <w:b/>
                <w:sz w:val="20"/>
                <w:szCs w:val="20"/>
              </w:rPr>
              <w:t>LTAD Stage</w:t>
            </w:r>
          </w:p>
        </w:tc>
        <w:tc>
          <w:tcPr>
            <w:tcW w:w="1703" w:type="dxa"/>
          </w:tcPr>
          <w:p w:rsidR="00777401" w:rsidRPr="000C244D" w:rsidRDefault="00777401" w:rsidP="000C244D">
            <w:pPr>
              <w:rPr>
                <w:b/>
                <w:sz w:val="20"/>
                <w:szCs w:val="20"/>
              </w:rPr>
            </w:pPr>
            <w:r w:rsidRPr="000C244D">
              <w:rPr>
                <w:b/>
                <w:sz w:val="20"/>
                <w:szCs w:val="20"/>
              </w:rPr>
              <w:t>Ringette Alberta Groups</w:t>
            </w:r>
          </w:p>
        </w:tc>
        <w:tc>
          <w:tcPr>
            <w:tcW w:w="3057" w:type="dxa"/>
          </w:tcPr>
          <w:p w:rsidR="00777401" w:rsidRPr="000C244D" w:rsidRDefault="00777401">
            <w:pPr>
              <w:rPr>
                <w:b/>
                <w:sz w:val="20"/>
                <w:szCs w:val="20"/>
              </w:rPr>
            </w:pPr>
            <w:r w:rsidRPr="000C244D">
              <w:rPr>
                <w:b/>
                <w:sz w:val="20"/>
                <w:szCs w:val="20"/>
              </w:rPr>
              <w:t>Goaltending Focus</w:t>
            </w:r>
          </w:p>
        </w:tc>
        <w:tc>
          <w:tcPr>
            <w:tcW w:w="1228" w:type="dxa"/>
          </w:tcPr>
          <w:p w:rsidR="00777401" w:rsidRPr="000C244D" w:rsidRDefault="00777401" w:rsidP="0000262C">
            <w:pPr>
              <w:rPr>
                <w:b/>
                <w:sz w:val="20"/>
                <w:szCs w:val="20"/>
              </w:rPr>
            </w:pPr>
            <w:r w:rsidRPr="000C244D">
              <w:rPr>
                <w:b/>
                <w:sz w:val="20"/>
                <w:szCs w:val="20"/>
              </w:rPr>
              <w:t>Full Time Goaltender Permitted</w:t>
            </w:r>
          </w:p>
        </w:tc>
        <w:tc>
          <w:tcPr>
            <w:tcW w:w="2346" w:type="dxa"/>
          </w:tcPr>
          <w:p w:rsidR="00777401" w:rsidRPr="000C244D" w:rsidRDefault="00777401">
            <w:pPr>
              <w:rPr>
                <w:b/>
                <w:sz w:val="20"/>
                <w:szCs w:val="20"/>
              </w:rPr>
            </w:pPr>
            <w:r w:rsidRPr="000C244D">
              <w:rPr>
                <w:b/>
                <w:sz w:val="20"/>
                <w:szCs w:val="20"/>
              </w:rPr>
              <w:t>Goal Equipment</w:t>
            </w:r>
          </w:p>
        </w:tc>
        <w:tc>
          <w:tcPr>
            <w:tcW w:w="1666" w:type="dxa"/>
          </w:tcPr>
          <w:p w:rsidR="00777401" w:rsidRPr="000C244D" w:rsidRDefault="00777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Nets</w:t>
            </w:r>
          </w:p>
        </w:tc>
        <w:tc>
          <w:tcPr>
            <w:tcW w:w="1605" w:type="dxa"/>
          </w:tcPr>
          <w:p w:rsidR="00777401" w:rsidRDefault="00777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Modified Ice surface for competition</w:t>
            </w:r>
          </w:p>
        </w:tc>
      </w:tr>
      <w:tr w:rsidR="00777401" w:rsidRPr="0000262C" w:rsidTr="00777401">
        <w:tc>
          <w:tcPr>
            <w:tcW w:w="1807" w:type="dxa"/>
            <w:vMerge w:val="restart"/>
          </w:tcPr>
          <w:p w:rsidR="00777401" w:rsidRPr="000C244D" w:rsidRDefault="00777401" w:rsidP="0000262C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Active Start</w:t>
            </w:r>
          </w:p>
        </w:tc>
        <w:tc>
          <w:tcPr>
            <w:tcW w:w="1703" w:type="dxa"/>
            <w:vAlign w:val="center"/>
          </w:tcPr>
          <w:p w:rsidR="00777401" w:rsidRPr="000C244D" w:rsidRDefault="00777401" w:rsidP="0000262C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Active Start 1</w:t>
            </w:r>
          </w:p>
        </w:tc>
        <w:tc>
          <w:tcPr>
            <w:tcW w:w="3057" w:type="dxa"/>
            <w:vAlign w:val="center"/>
          </w:tcPr>
          <w:p w:rsidR="00777401" w:rsidRPr="000C244D" w:rsidRDefault="00777401" w:rsidP="0000262C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n/a</w:t>
            </w:r>
          </w:p>
        </w:tc>
        <w:tc>
          <w:tcPr>
            <w:tcW w:w="1228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n/a</w:t>
            </w:r>
          </w:p>
        </w:tc>
        <w:tc>
          <w:tcPr>
            <w:tcW w:w="2346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66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n/a</w:t>
            </w:r>
          </w:p>
        </w:tc>
        <w:tc>
          <w:tcPr>
            <w:tcW w:w="1605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7401" w:rsidRPr="0000262C" w:rsidTr="00777401">
        <w:tc>
          <w:tcPr>
            <w:tcW w:w="1807" w:type="dxa"/>
            <w:vMerge/>
          </w:tcPr>
          <w:p w:rsidR="00777401" w:rsidRPr="000C244D" w:rsidRDefault="00777401" w:rsidP="0000262C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77401" w:rsidRPr="000C244D" w:rsidRDefault="00777401" w:rsidP="0000262C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Active Start 2</w:t>
            </w:r>
          </w:p>
        </w:tc>
        <w:tc>
          <w:tcPr>
            <w:tcW w:w="3057" w:type="dxa"/>
            <w:vAlign w:val="center"/>
          </w:tcPr>
          <w:p w:rsidR="00777401" w:rsidRPr="000C244D" w:rsidRDefault="00777401" w:rsidP="0000262C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n/a</w:t>
            </w:r>
          </w:p>
        </w:tc>
        <w:tc>
          <w:tcPr>
            <w:tcW w:w="1228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n/a</w:t>
            </w:r>
          </w:p>
        </w:tc>
        <w:tc>
          <w:tcPr>
            <w:tcW w:w="2346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66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n/a</w:t>
            </w:r>
          </w:p>
        </w:tc>
        <w:tc>
          <w:tcPr>
            <w:tcW w:w="1605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77401" w:rsidRPr="0000262C" w:rsidTr="00777401">
        <w:tc>
          <w:tcPr>
            <w:tcW w:w="1807" w:type="dxa"/>
            <w:vMerge w:val="restart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Fundamentals</w:t>
            </w:r>
          </w:p>
        </w:tc>
        <w:tc>
          <w:tcPr>
            <w:tcW w:w="1703" w:type="dxa"/>
            <w:vAlign w:val="center"/>
          </w:tcPr>
          <w:p w:rsidR="00777401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U10-1</w:t>
            </w:r>
          </w:p>
          <w:p w:rsidR="00777401" w:rsidRDefault="00777401">
            <w:pPr>
              <w:rPr>
                <w:sz w:val="20"/>
                <w:szCs w:val="20"/>
              </w:rPr>
            </w:pPr>
          </w:p>
          <w:p w:rsidR="00777401" w:rsidRPr="000C244D" w:rsidRDefault="00777401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  <w:vAlign w:val="center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Introduce goaltending concept and rotate position to all players.  Stress: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basic grip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stance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stick on ice</w:t>
            </w:r>
          </w:p>
        </w:tc>
        <w:tc>
          <w:tcPr>
            <w:tcW w:w="1228" w:type="dxa"/>
            <w:vMerge w:val="restart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No</w:t>
            </w:r>
          </w:p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</w:t>
            </w:r>
          </w:p>
        </w:tc>
        <w:tc>
          <w:tcPr>
            <w:tcW w:w="1666" w:type="dxa"/>
            <w:vMerge w:val="restart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</w:tc>
        <w:tc>
          <w:tcPr>
            <w:tcW w:w="1605" w:type="dxa"/>
            <w:vAlign w:val="center"/>
          </w:tcPr>
          <w:p w:rsidR="00777401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</w:t>
            </w:r>
          </w:p>
        </w:tc>
      </w:tr>
      <w:tr w:rsidR="00777401" w:rsidRPr="0000262C" w:rsidTr="00777401">
        <w:tc>
          <w:tcPr>
            <w:tcW w:w="1807" w:type="dxa"/>
            <w:vMerge/>
          </w:tcPr>
          <w:p w:rsidR="00777401" w:rsidRPr="000C244D" w:rsidRDefault="0077740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U10-2</w:t>
            </w:r>
          </w:p>
        </w:tc>
        <w:tc>
          <w:tcPr>
            <w:tcW w:w="3057" w:type="dxa"/>
            <w:vMerge/>
            <w:vAlign w:val="center"/>
          </w:tcPr>
          <w:p w:rsidR="00777401" w:rsidRPr="000C244D" w:rsidRDefault="00777401" w:rsidP="00AA1D8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 and Gloves</w:t>
            </w:r>
          </w:p>
        </w:tc>
        <w:tc>
          <w:tcPr>
            <w:tcW w:w="1666" w:type="dxa"/>
            <w:vMerge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777401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</w:t>
            </w:r>
          </w:p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</w:p>
        </w:tc>
      </w:tr>
      <w:tr w:rsidR="00777401" w:rsidRPr="0000262C" w:rsidTr="00777401">
        <w:tc>
          <w:tcPr>
            <w:tcW w:w="1807" w:type="dxa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Learning to Train Early</w:t>
            </w:r>
          </w:p>
        </w:tc>
        <w:tc>
          <w:tcPr>
            <w:tcW w:w="1703" w:type="dxa"/>
            <w:vAlign w:val="center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U10-3</w:t>
            </w:r>
          </w:p>
        </w:tc>
        <w:tc>
          <w:tcPr>
            <w:tcW w:w="3057" w:type="dxa"/>
            <w:vAlign w:val="center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Continue to introduce and refine goaltending concept and rotate position to all players.  Same skills as above plus: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skating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ring skills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 xml:space="preserve">mobility 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 xml:space="preserve">stick work 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positioning</w:t>
            </w:r>
          </w:p>
          <w:p w:rsidR="00777401" w:rsidRPr="000C244D" w:rsidRDefault="00777401" w:rsidP="00AA1D8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ring distribution</w:t>
            </w:r>
          </w:p>
        </w:tc>
        <w:tc>
          <w:tcPr>
            <w:tcW w:w="1228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No</w:t>
            </w:r>
          </w:p>
        </w:tc>
        <w:tc>
          <w:tcPr>
            <w:tcW w:w="2346" w:type="dxa"/>
            <w:vAlign w:val="center"/>
          </w:tcPr>
          <w:p w:rsidR="00777401" w:rsidRPr="000C244D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Full equipment.</w:t>
            </w:r>
          </w:p>
          <w:p w:rsidR="005B5075" w:rsidRDefault="005B5075" w:rsidP="005B5075">
            <w:pPr>
              <w:jc w:val="center"/>
              <w:rPr>
                <w:sz w:val="20"/>
                <w:szCs w:val="20"/>
              </w:rPr>
            </w:pPr>
          </w:p>
          <w:p w:rsidR="00777401" w:rsidRPr="000C244D" w:rsidRDefault="00777401" w:rsidP="00DC7C4E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 xml:space="preserve">Goal skates recommended for those players wanting to try </w:t>
            </w:r>
            <w:r w:rsidR="005B5075">
              <w:rPr>
                <w:sz w:val="20"/>
                <w:szCs w:val="20"/>
              </w:rPr>
              <w:t xml:space="preserve">goal skates and where </w:t>
            </w:r>
            <w:r w:rsidR="00DC7C4E">
              <w:rPr>
                <w:sz w:val="20"/>
                <w:szCs w:val="20"/>
              </w:rPr>
              <w:t>properly fitting</w:t>
            </w:r>
            <w:r w:rsidR="005B5075">
              <w:rPr>
                <w:sz w:val="20"/>
                <w:szCs w:val="20"/>
              </w:rPr>
              <w:t xml:space="preserve"> skates are available. </w:t>
            </w:r>
          </w:p>
        </w:tc>
        <w:tc>
          <w:tcPr>
            <w:tcW w:w="1666" w:type="dxa"/>
            <w:vAlign w:val="center"/>
          </w:tcPr>
          <w:p w:rsidR="00777401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  <w:p w:rsidR="00777401" w:rsidRDefault="00777401" w:rsidP="00777401">
            <w:pPr>
              <w:jc w:val="center"/>
              <w:rPr>
                <w:sz w:val="20"/>
                <w:szCs w:val="20"/>
              </w:rPr>
            </w:pPr>
          </w:p>
          <w:p w:rsidR="00777401" w:rsidRPr="000C244D" w:rsidRDefault="00777401" w:rsidP="005B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introduce full size net towards the end of the season in </w:t>
            </w:r>
            <w:proofErr w:type="spellStart"/>
            <w:r>
              <w:rPr>
                <w:sz w:val="20"/>
                <w:szCs w:val="20"/>
              </w:rPr>
              <w:t>intersquad</w:t>
            </w:r>
            <w:proofErr w:type="spellEnd"/>
            <w:r>
              <w:rPr>
                <w:sz w:val="20"/>
                <w:szCs w:val="20"/>
              </w:rPr>
              <w:t xml:space="preserve"> scrimmages for those players </w:t>
            </w:r>
            <w:r w:rsidR="005B5075">
              <w:rPr>
                <w:sz w:val="20"/>
                <w:szCs w:val="20"/>
              </w:rPr>
              <w:t>showing an interest</w:t>
            </w:r>
            <w:r>
              <w:rPr>
                <w:sz w:val="20"/>
                <w:szCs w:val="20"/>
              </w:rPr>
              <w:t xml:space="preserve"> in playing goal full time or part time in the future.</w:t>
            </w:r>
          </w:p>
        </w:tc>
        <w:tc>
          <w:tcPr>
            <w:tcW w:w="1605" w:type="dxa"/>
            <w:vAlign w:val="center"/>
          </w:tcPr>
          <w:p w:rsidR="00777401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</w:tr>
      <w:tr w:rsidR="00777401" w:rsidRPr="0000262C" w:rsidTr="00777401">
        <w:tc>
          <w:tcPr>
            <w:tcW w:w="1807" w:type="dxa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Learning to Train Late</w:t>
            </w:r>
          </w:p>
        </w:tc>
        <w:tc>
          <w:tcPr>
            <w:tcW w:w="1703" w:type="dxa"/>
            <w:vAlign w:val="center"/>
          </w:tcPr>
          <w:p w:rsidR="00777401" w:rsidRPr="000C244D" w:rsidRDefault="00777401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U12</w:t>
            </w:r>
          </w:p>
        </w:tc>
        <w:tc>
          <w:tcPr>
            <w:tcW w:w="3057" w:type="dxa"/>
            <w:vAlign w:val="center"/>
          </w:tcPr>
          <w:p w:rsidR="00777401" w:rsidRPr="000C244D" w:rsidRDefault="00777401" w:rsidP="0000262C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Identify and develop every interested player.</w:t>
            </w:r>
          </w:p>
          <w:p w:rsidR="00777401" w:rsidRPr="000C244D" w:rsidRDefault="00777401" w:rsidP="0000262C">
            <w:pPr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Same skills as above plus:</w:t>
            </w:r>
          </w:p>
          <w:p w:rsidR="00777401" w:rsidRPr="000C244D" w:rsidRDefault="00777401" w:rsidP="0077740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  <w:r w:rsidRPr="000C244D">
              <w:rPr>
                <w:sz w:val="20"/>
                <w:szCs w:val="20"/>
              </w:rPr>
              <w:t xml:space="preserve"> / interaction.</w:t>
            </w:r>
          </w:p>
        </w:tc>
        <w:tc>
          <w:tcPr>
            <w:tcW w:w="1228" w:type="dxa"/>
            <w:vAlign w:val="center"/>
          </w:tcPr>
          <w:p w:rsidR="00777401" w:rsidRPr="000C244D" w:rsidRDefault="004C6A87" w:rsidP="004C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77401" w:rsidRPr="000C244D">
              <w:rPr>
                <w:sz w:val="20"/>
                <w:szCs w:val="20"/>
              </w:rPr>
              <w:t xml:space="preserve">Yes, however no player </w:t>
            </w:r>
            <w:r>
              <w:rPr>
                <w:sz w:val="20"/>
                <w:szCs w:val="20"/>
              </w:rPr>
              <w:t xml:space="preserve">may </w:t>
            </w:r>
            <w:r w:rsidR="00777401" w:rsidRPr="000C244D">
              <w:rPr>
                <w:sz w:val="20"/>
                <w:szCs w:val="20"/>
              </w:rPr>
              <w:t>play more than 50% of the games.</w:t>
            </w:r>
          </w:p>
        </w:tc>
        <w:tc>
          <w:tcPr>
            <w:tcW w:w="2346" w:type="dxa"/>
            <w:vAlign w:val="center"/>
          </w:tcPr>
          <w:p w:rsidR="00777401" w:rsidRDefault="00777401" w:rsidP="00777401">
            <w:pPr>
              <w:jc w:val="center"/>
              <w:rPr>
                <w:sz w:val="20"/>
                <w:szCs w:val="20"/>
              </w:rPr>
            </w:pPr>
            <w:r w:rsidRPr="000C244D">
              <w:rPr>
                <w:sz w:val="20"/>
                <w:szCs w:val="20"/>
              </w:rPr>
              <w:t>Full equipment.</w:t>
            </w:r>
          </w:p>
          <w:p w:rsidR="00DC7C4E" w:rsidRPr="000C244D" w:rsidRDefault="00DC7C4E" w:rsidP="00777401">
            <w:pPr>
              <w:jc w:val="center"/>
              <w:rPr>
                <w:sz w:val="20"/>
                <w:szCs w:val="20"/>
              </w:rPr>
            </w:pPr>
          </w:p>
          <w:p w:rsidR="00777401" w:rsidRPr="000C244D" w:rsidRDefault="00DC7C4E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skat</w:t>
            </w:r>
            <w:r w:rsidR="00777401" w:rsidRPr="000C244D">
              <w:rPr>
                <w:sz w:val="20"/>
                <w:szCs w:val="20"/>
              </w:rPr>
              <w:t>es should now be used for those players who have decided to be full time goaltenders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666" w:type="dxa"/>
            <w:vAlign w:val="center"/>
          </w:tcPr>
          <w:p w:rsidR="00777401" w:rsidRPr="000C244D" w:rsidRDefault="00DC7C4E" w:rsidP="00DC7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1605" w:type="dxa"/>
            <w:vAlign w:val="center"/>
          </w:tcPr>
          <w:p w:rsidR="00777401" w:rsidRDefault="00777401" w:rsidP="00777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</w:tr>
    </w:tbl>
    <w:p w:rsidR="005B5075" w:rsidRDefault="005B5075">
      <w:pPr>
        <w:rPr>
          <w:sz w:val="20"/>
        </w:rPr>
      </w:pPr>
    </w:p>
    <w:p w:rsidR="0000262C" w:rsidRDefault="005B5075">
      <w:r>
        <w:rPr>
          <w:sz w:val="20"/>
        </w:rPr>
        <w:t>*</w:t>
      </w:r>
      <w:r w:rsidRPr="005B5075">
        <w:rPr>
          <w:sz w:val="20"/>
        </w:rPr>
        <w:t xml:space="preserve"> The 50% maximum is </w:t>
      </w:r>
      <w:proofErr w:type="spellStart"/>
      <w:r w:rsidRPr="005B5075">
        <w:rPr>
          <w:sz w:val="20"/>
        </w:rPr>
        <w:t>intened</w:t>
      </w:r>
      <w:proofErr w:type="spellEnd"/>
      <w:r w:rsidRPr="005B5075">
        <w:rPr>
          <w:sz w:val="20"/>
        </w:rPr>
        <w:t xml:space="preserve"> to ensure </w:t>
      </w:r>
      <w:r>
        <w:rPr>
          <w:sz w:val="20"/>
        </w:rPr>
        <w:t>other players have the opportunity to try the goaltending position. When they are not playing goal, individuals are encouraged to play other positions rather than “sit”</w:t>
      </w:r>
      <w:r w:rsidR="004C6A87" w:rsidRPr="005B5075">
        <w:rPr>
          <w:sz w:val="20"/>
        </w:rPr>
        <w:t xml:space="preserve">. </w:t>
      </w:r>
    </w:p>
    <w:sectPr w:rsidR="0000262C" w:rsidSect="000B2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F5" w:rsidRDefault="00167BF5" w:rsidP="00406184">
      <w:pPr>
        <w:spacing w:after="0" w:line="240" w:lineRule="auto"/>
      </w:pPr>
      <w:r>
        <w:separator/>
      </w:r>
    </w:p>
  </w:endnote>
  <w:endnote w:type="continuationSeparator" w:id="0">
    <w:p w:rsidR="00167BF5" w:rsidRDefault="00167BF5" w:rsidP="0040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84" w:rsidRDefault="00406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84" w:rsidRDefault="00406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84" w:rsidRDefault="00406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F5" w:rsidRDefault="00167BF5" w:rsidP="00406184">
      <w:pPr>
        <w:spacing w:after="0" w:line="240" w:lineRule="auto"/>
      </w:pPr>
      <w:r>
        <w:separator/>
      </w:r>
    </w:p>
  </w:footnote>
  <w:footnote w:type="continuationSeparator" w:id="0">
    <w:p w:rsidR="00167BF5" w:rsidRDefault="00167BF5" w:rsidP="0040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84" w:rsidRDefault="00406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14666"/>
      <w:docPartObj>
        <w:docPartGallery w:val="Watermarks"/>
        <w:docPartUnique/>
      </w:docPartObj>
    </w:sdtPr>
    <w:sdtContent>
      <w:p w:rsidR="00406184" w:rsidRDefault="00406184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84" w:rsidRDefault="00406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297E"/>
    <w:multiLevelType w:val="hybridMultilevel"/>
    <w:tmpl w:val="EBAA99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03208"/>
    <w:multiLevelType w:val="hybridMultilevel"/>
    <w:tmpl w:val="1054E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FZPI8I1V4JW57antvpPLlcosdx7AXG6+P8uC/DBGVI4JhTXd/Y9ngxPbnYQNgGAJqpkqqlb+GiEcV2RM7Oiqg==" w:salt="QKD51n03xpzEYlwYZluH+g==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B7"/>
    <w:rsid w:val="0000262C"/>
    <w:rsid w:val="000B28B7"/>
    <w:rsid w:val="000C244D"/>
    <w:rsid w:val="00112237"/>
    <w:rsid w:val="00167BF5"/>
    <w:rsid w:val="0024433B"/>
    <w:rsid w:val="00294AEB"/>
    <w:rsid w:val="003A6D24"/>
    <w:rsid w:val="00406184"/>
    <w:rsid w:val="00434C72"/>
    <w:rsid w:val="004C6A87"/>
    <w:rsid w:val="005B5075"/>
    <w:rsid w:val="005E3B1F"/>
    <w:rsid w:val="00777401"/>
    <w:rsid w:val="00832B4C"/>
    <w:rsid w:val="00A877BA"/>
    <w:rsid w:val="00AA1D83"/>
    <w:rsid w:val="00D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B5060B-4413-4979-B957-57DF2A56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B1F"/>
    <w:pPr>
      <w:keepNext/>
      <w:keepLines/>
      <w:spacing w:before="120" w:after="0" w:line="240" w:lineRule="auto"/>
      <w:outlineLvl w:val="1"/>
    </w:pPr>
    <w:rPr>
      <w:rFonts w:ascii="Calibri" w:eastAsiaTheme="majorEastAsia" w:hAnsi="Calibri" w:cstheme="majorBidi"/>
      <w:b/>
      <w:bCs/>
      <w:color w:val="5B9BD5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B1F"/>
    <w:rPr>
      <w:rFonts w:ascii="Calibri" w:eastAsiaTheme="majorEastAsia" w:hAnsi="Calibri" w:cstheme="majorBidi"/>
      <w:b/>
      <w:bCs/>
      <w:color w:val="5B9BD5" w:themeColor="accent1"/>
      <w:sz w:val="32"/>
      <w:szCs w:val="26"/>
    </w:rPr>
  </w:style>
  <w:style w:type="table" w:styleId="TableGrid">
    <w:name w:val="Table Grid"/>
    <w:basedOn w:val="TableNormal"/>
    <w:uiPriority w:val="39"/>
    <w:rsid w:val="000B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84"/>
  </w:style>
  <w:style w:type="paragraph" w:styleId="Footer">
    <w:name w:val="footer"/>
    <w:basedOn w:val="Normal"/>
    <w:link w:val="FooterChar"/>
    <w:uiPriority w:val="99"/>
    <w:unhideWhenUsed/>
    <w:rsid w:val="0040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229</Words>
  <Characters>1309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Ringette Alberta</dc:creator>
  <cp:keywords/>
  <dc:description/>
  <cp:lastModifiedBy>Caleigh</cp:lastModifiedBy>
  <cp:revision>4</cp:revision>
  <dcterms:created xsi:type="dcterms:W3CDTF">2015-07-13T17:22:00Z</dcterms:created>
  <dcterms:modified xsi:type="dcterms:W3CDTF">2015-07-29T20:12:00Z</dcterms:modified>
</cp:coreProperties>
</file>